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武汉市第一医院阀控式密封铅酸蓄电池</w:t>
      </w:r>
    </w:p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询价公告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一、项目基本信息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项目名称：阀控式密封铅酸蓄电池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数量：256台</w:t>
      </w:r>
    </w:p>
    <w:p>
      <w:pPr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二、询价要求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</w:rPr>
        <w:t>各厂商需提供以下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纸质</w:t>
      </w:r>
      <w:r>
        <w:rPr>
          <w:rFonts w:ascii="宋体" w:hAnsi="宋体" w:eastAsia="宋体" w:cs="宋体"/>
          <w:color w:val="auto"/>
          <w:sz w:val="24"/>
          <w:szCs w:val="24"/>
        </w:rPr>
        <w:t>资质材料一份：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1.供应商及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厂商</w:t>
      </w:r>
      <w:r>
        <w:rPr>
          <w:rFonts w:ascii="宋体" w:hAnsi="宋体" w:eastAsia="宋体" w:cs="宋体"/>
          <w:color w:val="auto"/>
          <w:sz w:val="24"/>
          <w:szCs w:val="24"/>
        </w:rPr>
        <w:t>、各级经销商、以及产品的相关资质证明复印件等；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.法定代表人授权委托书及委托代理人身份证复印件（注明联系电话）；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.以上证件需真实且在有效期内，且每页需加盖公章。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</w:rPr>
        <w:t>以下报价相关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纸质</w:t>
      </w:r>
      <w:r>
        <w:rPr>
          <w:rFonts w:ascii="宋体" w:hAnsi="宋体" w:eastAsia="宋体" w:cs="宋体"/>
          <w:color w:val="auto"/>
          <w:sz w:val="24"/>
          <w:szCs w:val="24"/>
        </w:rPr>
        <w:t>材料一式五份，均需盖公章：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1.报价单（模板见附件1）；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2.产品主要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要求</w:t>
      </w:r>
      <w:r>
        <w:rPr>
          <w:rFonts w:ascii="宋体" w:hAnsi="宋体" w:eastAsia="宋体" w:cs="宋体"/>
          <w:color w:val="auto"/>
          <w:sz w:val="24"/>
          <w:szCs w:val="24"/>
        </w:rPr>
        <w:t>应答情况（见附件2）；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3.彩页、近期成交记录等业绩资料；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各报名单位将加盖公章的以上材料扫描以PDF文件格式发送至邮箱：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"mailto:1712201041@qq.com，备注公司名称及相关联系人。"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"mailto:liuzy@whyyy.com" \t "_blank"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liuzy@whyyy.com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，备注公司名称及相关联系人，报名截止时间为</w:t>
      </w:r>
      <w:r>
        <w:rPr>
          <w:rFonts w:ascii="宋体" w:hAnsi="宋体" w:eastAsia="宋体" w:cs="宋体"/>
          <w:color w:val="auto"/>
          <w:sz w:val="24"/>
          <w:szCs w:val="24"/>
        </w:rPr>
        <w:t>2024年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23:59:59。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（四）报名截止时间之前发送邮件报名的单位，携带以上纸质材料参加询价会，询价会</w:t>
      </w:r>
      <w:r>
        <w:rPr>
          <w:rFonts w:ascii="宋体" w:hAnsi="宋体" w:eastAsia="宋体" w:cs="宋体"/>
          <w:color w:val="auto"/>
          <w:sz w:val="24"/>
          <w:szCs w:val="24"/>
        </w:rPr>
        <w:t>时间：2024年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color w:val="auto"/>
          <w:sz w:val="24"/>
          <w:szCs w:val="24"/>
        </w:rPr>
        <w:t>日14:30-15:30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auto"/>
          <w:sz w:val="24"/>
          <w:szCs w:val="24"/>
        </w:rPr>
        <w:t>地点：武汉市第一医院（利济路院区）门诊6楼信息中心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三、注意事项</w:t>
      </w:r>
    </w:p>
    <w:p>
      <w:pPr>
        <w:spacing w:line="360" w:lineRule="auto"/>
        <w:ind w:firstLine="42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该项目院内询价结果，仅作为医院制定招标采购方案参考，不作结果公示和反馈，也不作为任何最终结论！项目最终是否执行采购，以及最终采购方式、流程及结果等，以医院在相关官方网站（包括但不限于医院官网、“湖北省政府采购网”等）挂网公告结果为准！未参加院内询价公司，不影响其后期直接参与院外公开招标报名、投标！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信息化项目报价单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报价单位（盖章）：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联系人：                  联系电话：                   报价时间：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3"/>
        <w:tblW w:w="53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238"/>
        <w:gridCol w:w="209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07" w:type="pct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682" w:type="pct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154" w:type="pct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1654" w:type="pct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vertAlign w:val="baseline"/>
                <w:lang w:val="en-US" w:eastAsia="zh-CN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color w:val="0000FF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阀控式密封铅酸蓄电池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color w:val="0000FF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256台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left"/>
              <w:textAlignment w:val="auto"/>
              <w:rPr>
                <w:rFonts w:hint="default" w:cs="宋体" w:asciiTheme="minorEastAsia" w:hAnsiTheme="minorEastAsia"/>
                <w:color w:val="0000FF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jc w:val="left"/>
              <w:textAlignment w:val="auto"/>
              <w:rPr>
                <w:rFonts w:hint="default" w:cs="宋体" w:asciiTheme="minorEastAsia" w:hAnsiTheme="minorEastAsia"/>
                <w:color w:val="0000FF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rFonts w:hint="default"/>
          <w:b/>
          <w:bCs/>
          <w:color w:val="auto"/>
          <w:sz w:val="40"/>
          <w:szCs w:val="48"/>
          <w:lang w:val="en-US" w:eastAsia="zh-CN"/>
        </w:rPr>
        <w:t>产品主要要求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640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阀控式密封铅酸蓄电池（256台）</w:t>
            </w: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提供容量为100Ah的12V蓄电池。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大电流放电：蓄电池以30I10（A）放电3min，极柱、内部汇流排不应熔断，其外观不得出现异常。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容量保存率：蓄电池静置28天后，蓄电池容量保存率不低于99%。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密封反应效率：蓄电池蓄电池密封反应效率应不低于99%。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蓄电池端电压的均衡性：单体蓄电池和由若干个单体组成一体的组合蓄电池，其各电池间的开路电压最高与最低差值应≤20mV。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蓄电池进入浮充状态后24h后,各蓄电池之间的端电压差应≤25mV。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蓄电池放电时，各蓄电池之间的端电压差应不大于75mV。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电池间连接电压降：蓄电池之间的连接电压降应不大于5.0mV。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内阻：蓄电池的内阻应满足YD/T799-2010的要求。同组蓄电池的内阻偏差值应不超过3.0％。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热失控敏感性：蓄电池按《YD/T 799-2010 通信用阀控式密封铅酸蓄电池》7.20规定的方法试验，蓄电池温度应≤30℃，每24h的电流增长率应≤8.0％。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过度放电：蓄电池按《YD/T 799-2010 通信用阀控式密封铅酸蓄电池》7.21规定的方法试验，其容量恢复值应≥98％。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低温敏感性：蓄电池按《YD/T 799-2010 通信用阀控式密封铅酸蓄电池》7.22规定的方法试验，10h率容量应≥0.98C10；外观应无破裂、过度膨胀及槽、盖分离现象。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高温加速浮充寿命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依据《通信用阀控式密封铅酸蓄电池》（YD/T 799-2010）第7.23.2款的试验方法进行高温加速浮充寿命试验，12V系列蓄电池不小于8年，提供同系列型号第三方检测报告，检测机构具备CMA、CNAS资质的。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100%DOD循环寿命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25℃环境温度下，首先以10h率容量(额定)放电试验确定样品的10h率实际容量C10实际,蓄电池在充电电流为I10(0.1C10额定)；充电电压（2.35V/单体）；充电时间为24h；完成充电后,以I10 (0.1C10额定A)放电电流进行10h率容量放电试验,终止电压为蓄电池试验只数×1.8V。当某次放电容量大于额定容量的80%时（折算到25℃环境条件）继续进行充放电循环,否则试验终止,统计总循环次数(最后一次10h率容量小于额定容量的80%时的循环不计入总循环次数)。12V系列蓄电池循环寿命不小于300次，提供同系列型号第三方检测报告，检测机构具备CMA、CNAS资质的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再充电性能：蓄电池按《YD/T 799-2010 通信用阀控式密封铅酸蓄电池》7.24规定的方法试验，恒压充电24h的再充电能力因数应≥96％。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容量一致性：同组蓄电池10h率容量试验时，最大实际容量与最小实际容量差值应不大于2.0％。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为保证蓄电池供应商的服务水平，蓄电池企业应通过GB/T 27922-2011《商品售后服务评价体系》五星级认证，提供认证证书。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包到货、安装，电池质保三年。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jlhOGJlZDIxMWM5N2NjMzU5ZTc5Nzk1OWNlYmQifQ=="/>
  </w:docVars>
  <w:rsids>
    <w:rsidRoot w:val="52B943F6"/>
    <w:rsid w:val="08D41AAE"/>
    <w:rsid w:val="09630A6C"/>
    <w:rsid w:val="09824BCB"/>
    <w:rsid w:val="09E544CB"/>
    <w:rsid w:val="0AE74F1F"/>
    <w:rsid w:val="0E1053AA"/>
    <w:rsid w:val="156D47DE"/>
    <w:rsid w:val="1E9746B2"/>
    <w:rsid w:val="2355143D"/>
    <w:rsid w:val="25F22F97"/>
    <w:rsid w:val="285A12A4"/>
    <w:rsid w:val="307750E9"/>
    <w:rsid w:val="32CD29B7"/>
    <w:rsid w:val="35162E19"/>
    <w:rsid w:val="36A35AAF"/>
    <w:rsid w:val="47D7390C"/>
    <w:rsid w:val="4E41243B"/>
    <w:rsid w:val="52B943F6"/>
    <w:rsid w:val="5B256C43"/>
    <w:rsid w:val="5FFE20E1"/>
    <w:rsid w:val="616365BA"/>
    <w:rsid w:val="678B49FB"/>
    <w:rsid w:val="67C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81"/>
    <w:basedOn w:val="4"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正文2"/>
    <w:basedOn w:val="1"/>
    <w:qFormat/>
    <w:uiPriority w:val="0"/>
    <w:pPr>
      <w:ind w:firstLine="560" w:firstLineChars="200"/>
    </w:pPr>
    <w:rPr>
      <w:rFonts w:ascii="方正仿宋简体" w:eastAsia="方正仿宋简体"/>
      <w:sz w:val="28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3361</Words>
  <Characters>3432</Characters>
  <Lines>0</Lines>
  <Paragraphs>0</Paragraphs>
  <TotalTime>5</TotalTime>
  <ScaleCrop>false</ScaleCrop>
  <LinksUpToDate>false</LinksUpToDate>
  <CharactersWithSpaces>3530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2024-07-02T08:52:00Z</dcterms:created>
  <dc:creator>WPS</dc:creator>
  <cp:lastModifiedBy>刘子煜</cp:lastModifiedBy>
  <dcterms:modified xsi:type="dcterms:W3CDTF">2024-08-12T02:49:23Z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85541265F36A4F6192F17541564C3EE4_13</vt:lpwstr>
  </property>
</Properties>
</file>